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523"/>
      </w:tblGrid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MS MinNew Roman" w:hAnsi="Arial" w:cs="Arial"/>
                <w:sz w:val="20"/>
                <w:szCs w:val="20"/>
              </w:rPr>
              <w:t>vor 2006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Großtier-OPs an Schweinen, Intravitalmikroskopie an Schweinen und Nagern, Erprobung neuer Konservierungslösungen für die Herz- und Lebertransplantation an Meerschweinchen. Die Räumlichkeiten wurden genutzt von der AG Gebhard, und Ärzten der Allgemein- Viszeral- &amp; Transplantationschirurgie, Herzchirurgie, Anästhesie, Kinderklinik, BGU Ludwigshafen und Orthopädischen Klinik.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2006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Einzug der ehemaligen DKFZ-Arbeitsgruppe Molekulare 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Onkochirurgie</w:t>
            </w:r>
            <w:proofErr w:type="spellEnd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(Prof. Ingrid Herr)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2008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Einzug der ehemaligen DKFZ-Arbeitsgruppe Tumorzellbiologie (Prof. Margot Zöller)</w:t>
            </w:r>
          </w:p>
        </w:tc>
      </w:tr>
      <w:tr w:rsidR="00127930" w:rsidRPr="00472034" w:rsidTr="00526DCF">
        <w:tc>
          <w:tcPr>
            <w:tcW w:w="583" w:type="pct"/>
            <w:tcBorders>
              <w:top w:val="single" w:sz="4" w:space="0" w:color="8DB3E2" w:themeColor="text2" w:themeTint="66"/>
            </w:tcBorders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2008</w:t>
            </w:r>
          </w:p>
        </w:tc>
        <w:tc>
          <w:tcPr>
            <w:tcW w:w="4417" w:type="pct"/>
            <w:tcBorders>
              <w:top w:val="single" w:sz="4" w:space="0" w:color="8DB3E2" w:themeColor="text2" w:themeTint="66"/>
            </w:tcBorders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Einzug von Prof.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Helmut 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Seitz als Gastwissenschaftler "Labor für Alkoholforschung"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2008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Zwei große OP-Säle und weitere Räume werden in molekularbiologische Forschungslabore umgebaut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2008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Einzug 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Emmy-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Nöther</w:t>
            </w:r>
            <w:proofErr w:type="spellEnd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Gruppe PD Dr. Martin Schneider 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2008-heute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Neues Inventar für die molekulare Forschung wird nach und nach über Drittmittel angeschafft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, z.B. Dunkelkammer mit AGFA-Entwicklermaschine, UV-Transilluminator, FACS-Gerät, </w:t>
            </w:r>
            <w:proofErr w:type="spellStart"/>
            <w:r>
              <w:rPr>
                <w:rFonts w:ascii="Arial" w:eastAsia="MS MinNew Roman" w:hAnsi="Arial" w:cs="Arial"/>
                <w:sz w:val="20"/>
                <w:szCs w:val="20"/>
              </w:rPr>
              <w:t>Coulter</w:t>
            </w:r>
            <w:proofErr w:type="spellEnd"/>
            <w:r>
              <w:rPr>
                <w:rFonts w:ascii="Arial" w:eastAsia="MS MinNew Roman" w:hAnsi="Arial" w:cs="Arial"/>
                <w:sz w:val="20"/>
                <w:szCs w:val="20"/>
              </w:rPr>
              <w:t xml:space="preserve"> Counter, Sterile Arbeitsbänke, CO</w:t>
            </w:r>
            <w:r w:rsidRPr="00B00926">
              <w:rPr>
                <w:rFonts w:ascii="Arial" w:eastAsia="MS MinNew Roman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>-Inkubatoren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Febr</w:t>
            </w:r>
            <w:proofErr w:type="spellEnd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2014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Pensionierung der Direktorin Frau Prof. M. M. Gebhard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März 2014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Prof. Ingrid Herr übernimmt die administrative Leitung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März bis Juni 2014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</w:p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Umfangreiche Entsorgung nicht mehr nutzbarer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>Altlasten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März 2014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Einzug der AG 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Pankreatitisforschung</w:t>
            </w:r>
            <w:proofErr w:type="spellEnd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, Dr. Franco Fortunato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Mai 2014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Renovierung von Sekretariat und Abteilungsleiterbüro </w:t>
            </w:r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Mai 2014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Einzug der AG Leberchirurgie/Transplantationschirurgie, Prof. Peter 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Schemmer</w:t>
            </w:r>
            <w:proofErr w:type="spellEnd"/>
          </w:p>
        </w:tc>
      </w:tr>
      <w:tr w:rsidR="00127930" w:rsidRPr="00472034" w:rsidTr="00526DCF"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Juni 2014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Neubesetzung des Sekretariats mit Frau Ellen Watson</w:t>
            </w:r>
          </w:p>
        </w:tc>
      </w:tr>
      <w:tr w:rsidR="00127930" w:rsidRPr="00472034" w:rsidTr="00526DCF">
        <w:trPr>
          <w:trHeight w:val="3659"/>
        </w:trPr>
        <w:tc>
          <w:tcPr>
            <w:tcW w:w="583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Mai bis Juli 2014</w:t>
            </w:r>
          </w:p>
        </w:tc>
        <w:tc>
          <w:tcPr>
            <w:tcW w:w="4417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Einrichtung von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Core </w:t>
            </w:r>
            <w:proofErr w:type="spellStart"/>
            <w:r>
              <w:rPr>
                <w:rFonts w:ascii="Arial" w:eastAsia="MS MinNew Roman" w:hAnsi="Arial" w:cs="Arial"/>
                <w:sz w:val="20"/>
                <w:szCs w:val="20"/>
              </w:rPr>
              <w:t>Facilities</w:t>
            </w:r>
            <w:proofErr w:type="spellEnd"/>
            <w:r>
              <w:rPr>
                <w:rFonts w:ascii="Arial" w:eastAsia="MS MinNew Roman" w:hAnsi="Arial" w:cs="Arial"/>
                <w:sz w:val="20"/>
                <w:szCs w:val="20"/>
              </w:rPr>
              <w:t xml:space="preserve">: </w:t>
            </w:r>
          </w:p>
          <w:p w:rsidR="00127930" w:rsidRPr="00472034" w:rsidRDefault="00127930" w:rsidP="00127930">
            <w:pPr>
              <w:numPr>
                <w:ilvl w:val="0"/>
                <w:numId w:val="1"/>
              </w:numPr>
              <w:spacing w:before="20" w:after="20"/>
              <w:ind w:left="357" w:hanging="357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Raum 122: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>Büroraum wird zu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DNA-/RNA-/PCR-Labor</w:t>
            </w:r>
          </w:p>
          <w:p w:rsidR="00127930" w:rsidRPr="00472034" w:rsidRDefault="00127930" w:rsidP="00127930">
            <w:pPr>
              <w:numPr>
                <w:ilvl w:val="0"/>
                <w:numId w:val="1"/>
              </w:numPr>
              <w:spacing w:before="20" w:after="20"/>
              <w:ind w:left="357" w:hanging="357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Raum 119: Tierlabor umgezogen und neu strukturiert</w:t>
            </w:r>
          </w:p>
          <w:p w:rsidR="00127930" w:rsidRPr="00472034" w:rsidRDefault="00127930" w:rsidP="00127930">
            <w:pPr>
              <w:numPr>
                <w:ilvl w:val="0"/>
                <w:numId w:val="1"/>
              </w:numPr>
              <w:spacing w:before="20" w:after="20"/>
              <w:ind w:left="357" w:hanging="357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Raum 120: 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Histologielabor</w:t>
            </w:r>
            <w:proofErr w:type="spellEnd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umgezogen und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neu 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strukturiert. Im gleichen Raum befinden sich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nun 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das gemeinschaftlich benutzte 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Licor</w:t>
            </w:r>
            <w:proofErr w:type="spellEnd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Infrarot Imaging System, ein UV-Transilluminator und ein Präparationsplatz mit Inkubatoren für die 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Xenotra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>nsplantation</w:t>
            </w:r>
            <w:proofErr w:type="spellEnd"/>
            <w:r>
              <w:rPr>
                <w:rFonts w:ascii="Arial" w:eastAsia="MS MinNew Roman" w:hAnsi="Arial" w:cs="Arial"/>
                <w:sz w:val="20"/>
                <w:szCs w:val="20"/>
              </w:rPr>
              <w:t xml:space="preserve"> auf Bruteier. Des W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eiteren ist dieser Raum ein Abstellplatz für Gefriergeräte.</w:t>
            </w:r>
          </w:p>
          <w:p w:rsidR="00127930" w:rsidRPr="00472034" w:rsidRDefault="00127930" w:rsidP="00127930">
            <w:pPr>
              <w:numPr>
                <w:ilvl w:val="0"/>
                <w:numId w:val="1"/>
              </w:numPr>
              <w:spacing w:before="20" w:after="20"/>
              <w:ind w:left="357" w:hanging="357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Raum 118: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das großzügige Sekretariat wurde umstrukturiert. Neben dem Sekretariatsarbeitsplatz wurde der </w:t>
            </w:r>
            <w:proofErr w:type="spellStart"/>
            <w:r>
              <w:rPr>
                <w:rFonts w:ascii="Arial" w:eastAsia="MS MinNew Roman" w:hAnsi="Arial" w:cs="Arial"/>
                <w:sz w:val="20"/>
                <w:szCs w:val="20"/>
              </w:rPr>
              <w:t>Postraum</w:t>
            </w:r>
            <w:proofErr w:type="spellEnd"/>
            <w:r>
              <w:rPr>
                <w:rFonts w:ascii="Arial" w:eastAsia="MS MinNew Roman" w:hAnsi="Arial" w:cs="Arial"/>
                <w:sz w:val="20"/>
                <w:szCs w:val="20"/>
              </w:rPr>
              <w:t xml:space="preserve"> mit Postfächern, FACS-Gerät und Drucker, sowie 2 Arbeitsplätzen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für BISI-Bestellungen und Recherchen im Intranet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>integriert.</w:t>
            </w:r>
          </w:p>
          <w:p w:rsidR="00127930" w:rsidRPr="00472034" w:rsidRDefault="00127930" w:rsidP="00127930">
            <w:pPr>
              <w:numPr>
                <w:ilvl w:val="0"/>
                <w:numId w:val="1"/>
              </w:numPr>
              <w:spacing w:before="20" w:after="20"/>
              <w:ind w:left="357" w:hanging="357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Raum 117: das ehemalige Büro von Prof. M. M. Gebhard wurde von Prof. I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>.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Herr bezogen und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>dient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gleichzeitig 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als 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Besprechungszimmer.</w:t>
            </w:r>
          </w:p>
          <w:p w:rsidR="00127930" w:rsidRDefault="00127930" w:rsidP="00127930">
            <w:pPr>
              <w:numPr>
                <w:ilvl w:val="0"/>
                <w:numId w:val="1"/>
              </w:numPr>
              <w:spacing w:before="20" w:after="20"/>
              <w:ind w:left="357" w:hanging="357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Raum 116, ehemaliger 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Postraum</w:t>
            </w:r>
            <w:proofErr w:type="spellEnd"/>
            <w:r>
              <w:rPr>
                <w:rFonts w:ascii="Arial" w:eastAsia="MS MinNew Roman" w:hAnsi="Arial" w:cs="Arial"/>
                <w:sz w:val="20"/>
                <w:szCs w:val="20"/>
              </w:rPr>
              <w:t>,</w:t>
            </w: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wurde in ein Dunkellabor für die Intravitalmikroskopie, Impedanz-Spektroskopie und Fluor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>eszenz-Mikroskopie umstrukturiert.</w:t>
            </w:r>
          </w:p>
          <w:p w:rsidR="00127930" w:rsidRPr="00580134" w:rsidRDefault="00127930" w:rsidP="00127930">
            <w:pPr>
              <w:numPr>
                <w:ilvl w:val="0"/>
                <w:numId w:val="1"/>
              </w:numPr>
              <w:spacing w:before="20" w:after="20"/>
              <w:ind w:left="357" w:hanging="357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Ein allgemein verwendeter Drucker wurde im Laborflur integriert.</w:t>
            </w:r>
          </w:p>
        </w:tc>
      </w:tr>
      <w:tr w:rsidR="00127930" w:rsidRPr="00472034" w:rsidTr="00526DCF">
        <w:trPr>
          <w:trHeight w:val="20"/>
        </w:trPr>
        <w:tc>
          <w:tcPr>
            <w:tcW w:w="583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>August 2014</w:t>
            </w:r>
          </w:p>
        </w:tc>
        <w:tc>
          <w:tcPr>
            <w:tcW w:w="4417" w:type="pct"/>
            <w:shd w:val="clear" w:color="auto" w:fill="DBE5F1" w:themeFill="accent1" w:themeFillTint="33"/>
          </w:tcPr>
          <w:p w:rsidR="00127930" w:rsidRPr="00472034" w:rsidRDefault="00127930" w:rsidP="00526DCF">
            <w:pPr>
              <w:spacing w:before="20" w:after="20"/>
              <w:jc w:val="both"/>
              <w:rPr>
                <w:rFonts w:ascii="Arial" w:eastAsia="MS MinNew Roman" w:hAnsi="Arial" w:cs="Arial"/>
                <w:sz w:val="20"/>
                <w:szCs w:val="20"/>
              </w:rPr>
            </w:pPr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Gemeinsames Wochenseminar der AGs 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Ryschich</w:t>
            </w:r>
            <w:proofErr w:type="spellEnd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, Fortunato, </w:t>
            </w:r>
            <w:proofErr w:type="spellStart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>Schemmer</w:t>
            </w:r>
            <w:proofErr w:type="spellEnd"/>
            <w:r w:rsidRPr="00472034">
              <w:rPr>
                <w:rFonts w:ascii="Arial" w:eastAsia="MS MinNew Roman" w:hAnsi="Arial" w:cs="Arial"/>
                <w:sz w:val="20"/>
                <w:szCs w:val="20"/>
              </w:rPr>
              <w:t xml:space="preserve"> und Herr</w:t>
            </w: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 wurde zur Verstärkung der Zusammenarbeit eingerichtet.</w:t>
            </w:r>
          </w:p>
        </w:tc>
      </w:tr>
      <w:bookmarkEnd w:id="0"/>
    </w:tbl>
    <w:p w:rsidR="00D446BD" w:rsidRDefault="00D446BD"/>
    <w:sectPr w:rsidR="00D446BD" w:rsidSect="00D446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31B"/>
    <w:multiLevelType w:val="hybridMultilevel"/>
    <w:tmpl w:val="92A4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30"/>
    <w:rsid w:val="00127930"/>
    <w:rsid w:val="00D4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9D1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30"/>
    <w:rPr>
      <w:rFonts w:ascii="Cambria" w:eastAsia="MS Minngs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30"/>
    <w:rPr>
      <w:rFonts w:ascii="Cambria" w:eastAsia="MS Minngs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Macintosh Word</Application>
  <DocSecurity>0</DocSecurity>
  <Lines>19</Lines>
  <Paragraphs>5</Paragraphs>
  <ScaleCrop>false</ScaleCrop>
  <Company>DKFZ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2014-09-28T19:39:00Z</dcterms:created>
  <dcterms:modified xsi:type="dcterms:W3CDTF">2014-09-28T19:40:00Z</dcterms:modified>
</cp:coreProperties>
</file>