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25" w:rsidRPr="00DA1225" w:rsidRDefault="00DA1225">
      <w:pPr>
        <w:rPr>
          <w:lang w:val="en-US"/>
        </w:rPr>
      </w:pPr>
      <w:r>
        <w:rPr>
          <w:lang w:val="en-US"/>
        </w:rPr>
        <w:t>FOR ENGLISH VERSION SEE PAGE</w:t>
      </w:r>
      <w:r w:rsidRPr="00DA1225">
        <w:rPr>
          <w:lang w:val="en-US"/>
        </w:rPr>
        <w:t xml:space="preserve"> 2</w:t>
      </w:r>
    </w:p>
    <w:p w:rsidR="00AB4563" w:rsidRDefault="00857D36">
      <w:r>
        <w:t>Bei Einsendungen von Material zur</w:t>
      </w:r>
      <w:r w:rsidR="00BF2F06">
        <w:t xml:space="preserve"> Gen-Panel Analyse beach</w:t>
      </w:r>
      <w:r w:rsidR="00353C38">
        <w:t>ten Sie bitte folgende Hinweise. Erforderlich sind:</w:t>
      </w:r>
    </w:p>
    <w:p w:rsidR="00BF2F06" w:rsidRDefault="00BF2F06" w:rsidP="00BF2F06">
      <w:pPr>
        <w:pStyle w:val="Listenabsatz"/>
        <w:numPr>
          <w:ilvl w:val="0"/>
          <w:numId w:val="1"/>
        </w:numPr>
      </w:pPr>
      <w:r>
        <w:t xml:space="preserve">1µg Tumor-DNA, alternativ ein </w:t>
      </w:r>
      <w:proofErr w:type="spellStart"/>
      <w:r>
        <w:t>Kryo</w:t>
      </w:r>
      <w:proofErr w:type="spellEnd"/>
      <w:r>
        <w:t xml:space="preserve">-Präparat </w:t>
      </w:r>
      <w:r w:rsidRPr="00BF2F06">
        <w:rPr>
          <w:b/>
        </w:rPr>
        <w:t>oder</w:t>
      </w:r>
      <w:r>
        <w:t xml:space="preserve"> FFPE-Block </w:t>
      </w:r>
      <w:r w:rsidRPr="00BF2F06">
        <w:rPr>
          <w:b/>
        </w:rPr>
        <w:t>oder</w:t>
      </w:r>
      <w:r>
        <w:t xml:space="preserve"> 10 Leerschnitte</w:t>
      </w:r>
      <w:r w:rsidR="00A33F84">
        <w:t xml:space="preserve"> </w:t>
      </w:r>
    </w:p>
    <w:p w:rsidR="00BF2F06" w:rsidRDefault="00BF2F06" w:rsidP="00BF2F06">
      <w:pPr>
        <w:pStyle w:val="Listenabsatz"/>
        <w:numPr>
          <w:ilvl w:val="0"/>
          <w:numId w:val="1"/>
        </w:numPr>
      </w:pPr>
      <w:r>
        <w:t>Ein aktueller HE-Schnitt des eingesandten Materials</w:t>
      </w:r>
    </w:p>
    <w:p w:rsidR="00BF2F06" w:rsidRDefault="00430F22" w:rsidP="00BF2F06">
      <w:pPr>
        <w:pStyle w:val="Listenabsatz"/>
        <w:numPr>
          <w:ilvl w:val="0"/>
          <w:numId w:val="1"/>
        </w:numPr>
      </w:pPr>
      <w:r>
        <w:t xml:space="preserve">Falls Blut zur sichereren Identifikation von somatischen Mutationen eingesendet werden kann, sind </w:t>
      </w:r>
      <w:r w:rsidR="00BF2F06">
        <w:t>1µg Blut-DNA, alternativ 5ml EDTA-Blut</w:t>
      </w:r>
      <w:r>
        <w:t xml:space="preserve"> erforderlich</w:t>
      </w:r>
    </w:p>
    <w:p w:rsidR="00BF2F06" w:rsidRDefault="00BF2F06" w:rsidP="00BF2F06">
      <w:pPr>
        <w:pStyle w:val="Listenabsatz"/>
        <w:numPr>
          <w:ilvl w:val="0"/>
          <w:numId w:val="1"/>
        </w:numPr>
      </w:pPr>
      <w:r>
        <w:t>mindestens folgende Angaben: Name, Geburtsdatum, Geschlecht des Patienten, Lokalisation des Tumors, Primarius/Rezidiv, Vorbehandlung, externe Diagnose, externe molekulargenetische Befunde</w:t>
      </w:r>
    </w:p>
    <w:p w:rsidR="00056DFC" w:rsidRDefault="00BF2F06" w:rsidP="00353C38">
      <w:pPr>
        <w:pStyle w:val="Listenabsatz"/>
        <w:numPr>
          <w:ilvl w:val="0"/>
          <w:numId w:val="1"/>
        </w:numPr>
      </w:pPr>
      <w:r>
        <w:t xml:space="preserve">Einverständniserklärung des Patienten mit expliziter Anforderung einer Gen-Panel-Analyse von Tumor und </w:t>
      </w:r>
      <w:r w:rsidR="00430F22">
        <w:t xml:space="preserve">ggf. </w:t>
      </w:r>
      <w:r>
        <w:t>Blut</w:t>
      </w:r>
      <w:r w:rsidR="00430F22">
        <w:t>.</w:t>
      </w:r>
      <w:r>
        <w:t xml:space="preserve"> </w:t>
      </w:r>
    </w:p>
    <w:p w:rsidR="006C1A68" w:rsidRDefault="00430F22" w:rsidP="00353C38">
      <w:pPr>
        <w:pStyle w:val="Listenabsatz"/>
        <w:numPr>
          <w:ilvl w:val="0"/>
          <w:numId w:val="1"/>
        </w:numPr>
      </w:pPr>
      <w:r>
        <w:t xml:space="preserve">Sollte Blut eingesendet werden, </w:t>
      </w:r>
      <w:r w:rsidR="00056DFC">
        <w:t xml:space="preserve">dient dies zur Verfeinerung der somatischen Mutations-Analyse und beinhaltet </w:t>
      </w:r>
      <w:r>
        <w:t>keine prädiktive humangenetische Untersuchung auf Keimbahn-Mutationen.</w:t>
      </w:r>
      <w:r w:rsidR="00056DFC">
        <w:t xml:space="preserve"> Sollte jedoch eine Keimbahn-</w:t>
      </w:r>
      <w:r w:rsidR="00EC5D61">
        <w:t>Variante</w:t>
      </w:r>
      <w:r w:rsidR="00056DFC">
        <w:t xml:space="preserve"> identifiziert werden, beinhaltet die Einsendung das Einverständnis, über diese </w:t>
      </w:r>
      <w:bookmarkStart w:id="0" w:name="_GoBack"/>
      <w:bookmarkEnd w:id="0"/>
      <w:r w:rsidR="00056DFC">
        <w:t xml:space="preserve">informiert werden zu können. Die Panel-Sequenzierung von Blut dient aber nicht dem Ausschluss von Keimbahn-Mutationen in den enthaltenen Genen. </w:t>
      </w:r>
    </w:p>
    <w:p w:rsidR="006C1A68" w:rsidRDefault="006C1A68" w:rsidP="00353C38">
      <w:pPr>
        <w:pStyle w:val="Listenabsatz"/>
        <w:numPr>
          <w:ilvl w:val="0"/>
          <w:numId w:val="1"/>
        </w:numPr>
      </w:pPr>
      <w:r>
        <w:t xml:space="preserve">Angabe, ob zusätzlich eine 450k-Methylierungs- und </w:t>
      </w:r>
      <w:proofErr w:type="spellStart"/>
      <w:r>
        <w:t>Klassifkations</w:t>
      </w:r>
      <w:proofErr w:type="spellEnd"/>
      <w:r>
        <w:t>-Untersuchung durchgeführt werden soll</w:t>
      </w:r>
    </w:p>
    <w:p w:rsidR="00056DFC" w:rsidRDefault="00056DFC" w:rsidP="00353C38">
      <w:pPr>
        <w:pStyle w:val="Listenabsatz"/>
        <w:numPr>
          <w:ilvl w:val="0"/>
          <w:numId w:val="1"/>
        </w:numPr>
      </w:pPr>
      <w:r>
        <w:t>Einverständnis, die Kosten zu übernehmen und Angabe des Rechnungsempfängers (Kosten Panel-Sequenzierung Tumor 1800€, Tumor und Blut 3600€, 450k zusätzlich 1800€)</w:t>
      </w:r>
    </w:p>
    <w:p w:rsidR="00353C38" w:rsidRDefault="006C1A68" w:rsidP="00353C38">
      <w:pPr>
        <w:pStyle w:val="Listenabsatz"/>
        <w:numPr>
          <w:ilvl w:val="0"/>
          <w:numId w:val="1"/>
        </w:numPr>
      </w:pPr>
      <w:r>
        <w:t>Angabe der genauen Adresse für die Befundzustellung</w:t>
      </w:r>
      <w:r w:rsidR="00BF2F06">
        <w:t xml:space="preserve">   </w:t>
      </w:r>
    </w:p>
    <w:p w:rsidR="00857D36" w:rsidRDefault="00857D36" w:rsidP="00353C38">
      <w:r>
        <w:t>Die Analyse ist bislang nicht klinisch validiert und läuft unt</w:t>
      </w:r>
      <w:r w:rsidR="00773A47">
        <w:t xml:space="preserve">er experimentellen Bedingungen. </w:t>
      </w:r>
      <w:r>
        <w:t xml:space="preserve">Insbesondere wird darauf hingewiesen, dass technisch bedingt einzelne vorliegende Varianten durch geringe Abdeckung der Region oder abschnittsweise geringere </w:t>
      </w:r>
      <w:proofErr w:type="spellStart"/>
      <w:r>
        <w:t>Sequenzier</w:t>
      </w:r>
      <w:proofErr w:type="spellEnd"/>
      <w:r>
        <w:t xml:space="preserve">-Qualität maskiert sein können. </w:t>
      </w:r>
      <w:r w:rsidR="00430F22">
        <w:t xml:space="preserve">Technisch bedingt werden auch Keimbahn-Informationen erhoben. Die Identifikation von Keimbahn-Mutationen ist jedoch nicht Ziel dieser Untersuchung. </w:t>
      </w:r>
      <w:r>
        <w:t>Eine Verwendung der Ergebnisse für therapeutische Entscheidungen liegt in der alleinigen Verantwortung des behandelnden Arztes.</w:t>
      </w:r>
    </w:p>
    <w:p w:rsidR="00773A47" w:rsidRDefault="00773A47" w:rsidP="00353C38">
      <w:r>
        <w:t>Die Analyse dauert etwa 3 bis 4 Wochen.</w:t>
      </w:r>
    </w:p>
    <w:p w:rsidR="009039B1" w:rsidRPr="00376694" w:rsidRDefault="009039B1" w:rsidP="00353C38">
      <w:r w:rsidRPr="00376694">
        <w:t>Adresse:</w:t>
      </w:r>
    </w:p>
    <w:p w:rsidR="009039B1" w:rsidRPr="00376694" w:rsidRDefault="009039B1" w:rsidP="009039B1">
      <w:pPr>
        <w:pStyle w:val="KeinLeerraum"/>
      </w:pPr>
      <w:r w:rsidRPr="00376694">
        <w:t>Abt. Neuropathol</w:t>
      </w:r>
      <w:r w:rsidR="007C5B73">
        <w:t>o</w:t>
      </w:r>
      <w:r w:rsidRPr="00376694">
        <w:t>gie</w:t>
      </w:r>
    </w:p>
    <w:p w:rsidR="009039B1" w:rsidRPr="00376694" w:rsidRDefault="009039B1" w:rsidP="009039B1">
      <w:pPr>
        <w:pStyle w:val="KeinLeerraum"/>
      </w:pPr>
      <w:r w:rsidRPr="00376694">
        <w:t>GENE-PANEL</w:t>
      </w:r>
    </w:p>
    <w:p w:rsidR="009039B1" w:rsidRPr="00376694" w:rsidRDefault="009039B1" w:rsidP="009039B1">
      <w:pPr>
        <w:pStyle w:val="KeinLeerraum"/>
      </w:pPr>
      <w:r w:rsidRPr="00376694">
        <w:t>Universitätsklinikum Heidelberg</w:t>
      </w:r>
    </w:p>
    <w:p w:rsidR="009039B1" w:rsidRPr="00430F22" w:rsidRDefault="009039B1" w:rsidP="009039B1">
      <w:pPr>
        <w:pStyle w:val="KeinLeerraum"/>
        <w:rPr>
          <w:lang w:val="en-US"/>
        </w:rPr>
      </w:pPr>
      <w:proofErr w:type="spellStart"/>
      <w:r w:rsidRPr="00430F22">
        <w:rPr>
          <w:lang w:val="en-US"/>
        </w:rPr>
        <w:t>Im</w:t>
      </w:r>
      <w:proofErr w:type="spellEnd"/>
      <w:r w:rsidRPr="00430F22">
        <w:rPr>
          <w:lang w:val="en-US"/>
        </w:rPr>
        <w:t xml:space="preserve"> </w:t>
      </w:r>
      <w:proofErr w:type="spellStart"/>
      <w:r w:rsidRPr="00430F22">
        <w:rPr>
          <w:lang w:val="en-US"/>
        </w:rPr>
        <w:t>Neuenheimer</w:t>
      </w:r>
      <w:proofErr w:type="spellEnd"/>
      <w:r w:rsidRPr="00430F22">
        <w:rPr>
          <w:lang w:val="en-US"/>
        </w:rPr>
        <w:t xml:space="preserve"> Feld 224</w:t>
      </w:r>
    </w:p>
    <w:p w:rsidR="009039B1" w:rsidRPr="00430F22" w:rsidRDefault="009039B1" w:rsidP="009039B1">
      <w:pPr>
        <w:pStyle w:val="KeinLeerraum"/>
        <w:rPr>
          <w:lang w:val="en-US"/>
        </w:rPr>
      </w:pPr>
      <w:r w:rsidRPr="00430F22">
        <w:rPr>
          <w:lang w:val="en-US"/>
        </w:rPr>
        <w:t>69120 Heidelberg</w:t>
      </w:r>
    </w:p>
    <w:p w:rsidR="009039B1" w:rsidRPr="009039B1" w:rsidRDefault="009039B1" w:rsidP="00353C38">
      <w:pPr>
        <w:rPr>
          <w:lang w:val="en-US"/>
        </w:rPr>
      </w:pPr>
    </w:p>
    <w:p w:rsidR="00A33F84" w:rsidRPr="009039B1" w:rsidRDefault="00A33F84" w:rsidP="00353C38">
      <w:pPr>
        <w:rPr>
          <w:lang w:val="en-US"/>
        </w:rPr>
      </w:pPr>
    </w:p>
    <w:p w:rsidR="00DA1225" w:rsidRDefault="00DA1225">
      <w:pPr>
        <w:rPr>
          <w:lang w:val="en-US"/>
        </w:rPr>
      </w:pPr>
      <w:r>
        <w:rPr>
          <w:lang w:val="en-US"/>
        </w:rPr>
        <w:br w:type="page"/>
      </w:r>
    </w:p>
    <w:p w:rsidR="00A33F84" w:rsidRPr="00A33F84" w:rsidRDefault="00A33F84" w:rsidP="00A33F84">
      <w:pPr>
        <w:rPr>
          <w:lang w:val="en-US"/>
        </w:rPr>
      </w:pPr>
      <w:r w:rsidRPr="00A33F84">
        <w:rPr>
          <w:lang w:val="en-US"/>
        </w:rPr>
        <w:lastRenderedPageBreak/>
        <w:t xml:space="preserve">Please </w:t>
      </w:r>
      <w:r w:rsidR="006C1A68">
        <w:rPr>
          <w:lang w:val="en-US"/>
        </w:rPr>
        <w:t>adhere to</w:t>
      </w:r>
      <w:r w:rsidRPr="00A33F84">
        <w:rPr>
          <w:lang w:val="en-US"/>
        </w:rPr>
        <w:t xml:space="preserve"> the following important </w:t>
      </w:r>
      <w:r w:rsidR="007C5B73">
        <w:rPr>
          <w:lang w:val="en-US"/>
        </w:rPr>
        <w:t>guidelines</w:t>
      </w:r>
      <w:r w:rsidRPr="00A33F84">
        <w:rPr>
          <w:lang w:val="en-US"/>
        </w:rPr>
        <w:t xml:space="preserve"> when sending samples for gene panel sequencing</w:t>
      </w:r>
      <w:r w:rsidR="006C1A68">
        <w:rPr>
          <w:lang w:val="en-US"/>
        </w:rPr>
        <w:t xml:space="preserve">. </w:t>
      </w:r>
      <w:r w:rsidRPr="00A33F84">
        <w:rPr>
          <w:lang w:val="en-US"/>
        </w:rPr>
        <w:t>Required material</w:t>
      </w:r>
      <w:r w:rsidR="009039B1">
        <w:rPr>
          <w:lang w:val="en-US"/>
        </w:rPr>
        <w:t>/information</w:t>
      </w:r>
      <w:r w:rsidRPr="00A33F84">
        <w:rPr>
          <w:lang w:val="en-US"/>
        </w:rPr>
        <w:t>:</w:t>
      </w:r>
    </w:p>
    <w:p w:rsidR="00A33F84" w:rsidRPr="00A33F84" w:rsidRDefault="00A33F84" w:rsidP="00A33F84">
      <w:pPr>
        <w:pStyle w:val="Listenabsatz"/>
        <w:numPr>
          <w:ilvl w:val="0"/>
          <w:numId w:val="1"/>
        </w:numPr>
        <w:rPr>
          <w:lang w:val="en-US"/>
        </w:rPr>
      </w:pPr>
      <w:r w:rsidRPr="00A33F84">
        <w:rPr>
          <w:lang w:val="en-US"/>
        </w:rPr>
        <w:t xml:space="preserve">1µg Tumor-DNA, alternatively a </w:t>
      </w:r>
      <w:proofErr w:type="spellStart"/>
      <w:r w:rsidRPr="00A33F84">
        <w:rPr>
          <w:lang w:val="en-US"/>
        </w:rPr>
        <w:t>cryo</w:t>
      </w:r>
      <w:proofErr w:type="spellEnd"/>
      <w:r w:rsidRPr="00A33F84">
        <w:rPr>
          <w:lang w:val="en-US"/>
        </w:rPr>
        <w:t xml:space="preserve">-sample </w:t>
      </w:r>
      <w:r w:rsidRPr="00A33F84">
        <w:rPr>
          <w:b/>
          <w:lang w:val="en-US"/>
        </w:rPr>
        <w:t>or</w:t>
      </w:r>
      <w:r w:rsidRPr="00A33F84">
        <w:rPr>
          <w:lang w:val="en-US"/>
        </w:rPr>
        <w:t xml:space="preserve"> FFPE-block </w:t>
      </w:r>
      <w:r w:rsidRPr="00A33F84">
        <w:rPr>
          <w:b/>
          <w:lang w:val="en-US"/>
        </w:rPr>
        <w:t>or</w:t>
      </w:r>
      <w:r w:rsidRPr="00A33F84">
        <w:rPr>
          <w:lang w:val="en-US"/>
        </w:rPr>
        <w:t xml:space="preserve"> 10 empty sections </w:t>
      </w:r>
    </w:p>
    <w:p w:rsidR="00A33F84" w:rsidRPr="00A33F84" w:rsidRDefault="00A33F84" w:rsidP="00A33F84">
      <w:pPr>
        <w:pStyle w:val="Listenabsatz"/>
        <w:numPr>
          <w:ilvl w:val="0"/>
          <w:numId w:val="1"/>
        </w:numPr>
        <w:rPr>
          <w:lang w:val="en-US"/>
        </w:rPr>
      </w:pPr>
      <w:r w:rsidRPr="00A33F84">
        <w:rPr>
          <w:lang w:val="en-US"/>
        </w:rPr>
        <w:t>current H&amp;E stained slide of the provided sample</w:t>
      </w:r>
    </w:p>
    <w:p w:rsidR="00A33F84" w:rsidRPr="00A33F84" w:rsidRDefault="00430F22" w:rsidP="00A33F8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blood for more accurate detection of somatic variants shall be submitted, </w:t>
      </w:r>
      <w:r w:rsidR="00A33F84" w:rsidRPr="00A33F84">
        <w:rPr>
          <w:lang w:val="en-US"/>
        </w:rPr>
        <w:t>1µg blood-DNA, alternatively 5ml EDTA-</w:t>
      </w:r>
      <w:proofErr w:type="spellStart"/>
      <w:r w:rsidR="00A33F84" w:rsidRPr="00A33F84">
        <w:rPr>
          <w:lang w:val="en-US"/>
        </w:rPr>
        <w:t>Blut</w:t>
      </w:r>
      <w:proofErr w:type="spellEnd"/>
      <w:r>
        <w:rPr>
          <w:lang w:val="en-US"/>
        </w:rPr>
        <w:t xml:space="preserve"> are necessary</w:t>
      </w:r>
    </w:p>
    <w:p w:rsidR="00A33F84" w:rsidRPr="00A33F84" w:rsidRDefault="00A33F84" w:rsidP="00A33F84">
      <w:pPr>
        <w:pStyle w:val="Listenabsatz"/>
        <w:numPr>
          <w:ilvl w:val="0"/>
          <w:numId w:val="1"/>
        </w:numPr>
        <w:rPr>
          <w:lang w:val="en-US"/>
        </w:rPr>
      </w:pPr>
      <w:r w:rsidRPr="00A33F84">
        <w:rPr>
          <w:lang w:val="en-US"/>
        </w:rPr>
        <w:t xml:space="preserve">At least the following clinical data: Name, </w:t>
      </w:r>
      <w:proofErr w:type="spellStart"/>
      <w:r w:rsidRPr="00A33F84">
        <w:rPr>
          <w:lang w:val="en-US"/>
        </w:rPr>
        <w:t>DoB</w:t>
      </w:r>
      <w:proofErr w:type="spellEnd"/>
      <w:r w:rsidRPr="00A33F84">
        <w:rPr>
          <w:lang w:val="en-US"/>
        </w:rPr>
        <w:t xml:space="preserve">, gender, </w:t>
      </w:r>
      <w:r>
        <w:rPr>
          <w:lang w:val="en-US"/>
        </w:rPr>
        <w:t>localization</w:t>
      </w:r>
      <w:r w:rsidRPr="00A33F84">
        <w:rPr>
          <w:lang w:val="en-US"/>
        </w:rPr>
        <w:t xml:space="preserve">, </w:t>
      </w:r>
      <w:r>
        <w:rPr>
          <w:lang w:val="en-US"/>
        </w:rPr>
        <w:t>primary tumor/recurrence</w:t>
      </w:r>
      <w:r w:rsidRPr="00A33F84">
        <w:rPr>
          <w:lang w:val="en-US"/>
        </w:rPr>
        <w:t xml:space="preserve">, </w:t>
      </w:r>
      <w:r>
        <w:rPr>
          <w:lang w:val="en-US"/>
        </w:rPr>
        <w:t>previous treatment</w:t>
      </w:r>
      <w:r w:rsidRPr="00A33F84">
        <w:rPr>
          <w:lang w:val="en-US"/>
        </w:rPr>
        <w:t xml:space="preserve">, </w:t>
      </w:r>
      <w:r>
        <w:rPr>
          <w:lang w:val="en-US"/>
        </w:rPr>
        <w:t>external</w:t>
      </w:r>
      <w:r w:rsidRPr="00A33F84">
        <w:rPr>
          <w:lang w:val="en-US"/>
        </w:rPr>
        <w:t xml:space="preserve"> </w:t>
      </w:r>
      <w:r>
        <w:rPr>
          <w:lang w:val="en-US"/>
        </w:rPr>
        <w:t>diagnosis</w:t>
      </w:r>
      <w:r w:rsidRPr="00A33F84">
        <w:rPr>
          <w:lang w:val="en-US"/>
        </w:rPr>
        <w:t>,</w:t>
      </w:r>
      <w:r>
        <w:rPr>
          <w:lang w:val="en-US"/>
        </w:rPr>
        <w:t xml:space="preserve"> external</w:t>
      </w:r>
      <w:r w:rsidRPr="00A33F84">
        <w:rPr>
          <w:lang w:val="en-US"/>
        </w:rPr>
        <w:t xml:space="preserve"> </w:t>
      </w:r>
      <w:r>
        <w:rPr>
          <w:lang w:val="en-US"/>
        </w:rPr>
        <w:t>molecular findings</w:t>
      </w:r>
    </w:p>
    <w:p w:rsidR="00A33F84" w:rsidRDefault="00A33F84" w:rsidP="00A33F8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Consent of the patient, </w:t>
      </w:r>
      <w:r w:rsidR="00247269">
        <w:rPr>
          <w:lang w:val="en-US"/>
        </w:rPr>
        <w:t>explicitly</w:t>
      </w:r>
      <w:r>
        <w:rPr>
          <w:lang w:val="en-US"/>
        </w:rPr>
        <w:t xml:space="preserve"> stating the request for panel sequencing of tumor and blood, also indicating whether or not the patient wants to get informed in case a hereditary aberration is found</w:t>
      </w:r>
    </w:p>
    <w:p w:rsidR="00056DFC" w:rsidRPr="00056DFC" w:rsidRDefault="00056DFC" w:rsidP="00056DFC">
      <w:pPr>
        <w:pStyle w:val="Listenabsatz"/>
        <w:numPr>
          <w:ilvl w:val="0"/>
          <w:numId w:val="1"/>
        </w:numPr>
        <w:rPr>
          <w:lang w:val="en-US"/>
        </w:rPr>
      </w:pPr>
      <w:r w:rsidRPr="00056DFC">
        <w:rPr>
          <w:lang w:val="en-US"/>
        </w:rPr>
        <w:t>If blood is sent, this serv</w:t>
      </w:r>
      <w:r>
        <w:rPr>
          <w:lang w:val="en-US"/>
        </w:rPr>
        <w:t>es for refinement of somatic va</w:t>
      </w:r>
      <w:r w:rsidRPr="00056DFC">
        <w:rPr>
          <w:lang w:val="en-US"/>
        </w:rPr>
        <w:t xml:space="preserve">riant detection. </w:t>
      </w:r>
      <w:r>
        <w:rPr>
          <w:lang w:val="en-US"/>
        </w:rPr>
        <w:t xml:space="preserve">It does not imply a predictive assessment comparable to a predictive analysis by a human geneticist. </w:t>
      </w:r>
      <w:proofErr w:type="spellStart"/>
      <w:r>
        <w:rPr>
          <w:lang w:val="en-US"/>
        </w:rPr>
        <w:t>Germline</w:t>
      </w:r>
      <w:proofErr w:type="spellEnd"/>
      <w:r>
        <w:rPr>
          <w:lang w:val="en-US"/>
        </w:rPr>
        <w:t xml:space="preserve"> variations may be reported and submission of blood implies consent to this. However, panel-sequencing of blood without reported variations does not rule-out </w:t>
      </w:r>
      <w:proofErr w:type="spellStart"/>
      <w:r>
        <w:rPr>
          <w:lang w:val="en-US"/>
        </w:rPr>
        <w:t>germline</w:t>
      </w:r>
      <w:proofErr w:type="spellEnd"/>
      <w:r>
        <w:rPr>
          <w:lang w:val="en-US"/>
        </w:rPr>
        <w:t xml:space="preserve"> mutations in the genes included. </w:t>
      </w:r>
    </w:p>
    <w:p w:rsidR="00056DFC" w:rsidRPr="00056DFC" w:rsidRDefault="00056DFC" w:rsidP="00056DFC">
      <w:pPr>
        <w:pStyle w:val="Listenabsatz"/>
        <w:numPr>
          <w:ilvl w:val="0"/>
          <w:numId w:val="1"/>
        </w:numPr>
      </w:pPr>
      <w:r>
        <w:t xml:space="preserve">Sollte jedoch eine mit dem Tumor vermutlich in Zusammenhang stehende Keimbahn-Mutation identifiziert werden, beinhaltet die Einsendung das Einverständnis, über diese Mutation informiert werden zu können. Die Panel-Sequenzierung von Blut dient aber nicht dem Ausschluss von Keimbahn-Mutationen in den enthaltenen Genen. </w:t>
      </w:r>
    </w:p>
    <w:p w:rsidR="006C1A68" w:rsidRDefault="006C1A68" w:rsidP="00A33F8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Statement whether also </w:t>
      </w:r>
      <w:r w:rsidR="00115A8E">
        <w:rPr>
          <w:lang w:val="en-US"/>
        </w:rPr>
        <w:t>a 450k-</w:t>
      </w:r>
      <w:r>
        <w:rPr>
          <w:lang w:val="en-US"/>
        </w:rPr>
        <w:t>methylation and classification analysis should be performed</w:t>
      </w:r>
    </w:p>
    <w:p w:rsidR="00056DFC" w:rsidRPr="00056DFC" w:rsidRDefault="00056DFC" w:rsidP="00056DFC">
      <w:pPr>
        <w:pStyle w:val="Listenabsatz"/>
        <w:numPr>
          <w:ilvl w:val="0"/>
          <w:numId w:val="1"/>
        </w:numPr>
        <w:rPr>
          <w:lang w:val="en-US"/>
        </w:rPr>
      </w:pPr>
      <w:r w:rsidRPr="00056DFC">
        <w:rPr>
          <w:lang w:val="en-US"/>
        </w:rPr>
        <w:t xml:space="preserve">Consent to </w:t>
      </w:r>
      <w:r>
        <w:rPr>
          <w:lang w:val="en-US"/>
        </w:rPr>
        <w:t>cover t</w:t>
      </w:r>
      <w:r w:rsidRPr="00056DFC">
        <w:rPr>
          <w:lang w:val="en-US"/>
        </w:rPr>
        <w:t xml:space="preserve">he cost and details of invoice recipient </w:t>
      </w:r>
      <w:r w:rsidRPr="00056DFC">
        <w:rPr>
          <w:lang w:val="en-US"/>
        </w:rPr>
        <w:t>(</w:t>
      </w:r>
      <w:r>
        <w:rPr>
          <w:lang w:val="en-US"/>
        </w:rPr>
        <w:t>Cost Panel-Sequencing</w:t>
      </w:r>
      <w:r w:rsidRPr="00056DFC">
        <w:rPr>
          <w:lang w:val="en-US"/>
        </w:rPr>
        <w:t xml:space="preserve"> Tumor </w:t>
      </w:r>
      <w:r>
        <w:rPr>
          <w:lang w:val="en-US"/>
        </w:rPr>
        <w:t>1800€, Tumor and blood 3600€, additional 450k</w:t>
      </w:r>
      <w:r w:rsidRPr="00056DFC">
        <w:rPr>
          <w:lang w:val="en-US"/>
        </w:rPr>
        <w:t xml:space="preserve"> 1800€)</w:t>
      </w:r>
    </w:p>
    <w:p w:rsidR="006C1A68" w:rsidRPr="00A33F84" w:rsidRDefault="006C1A68" w:rsidP="00A33F8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address where the report shall be sent</w:t>
      </w:r>
    </w:p>
    <w:p w:rsidR="00247269" w:rsidRDefault="00247269" w:rsidP="00A33F84">
      <w:pPr>
        <w:rPr>
          <w:lang w:val="en-US"/>
        </w:rPr>
      </w:pPr>
      <w:r w:rsidRPr="00247269">
        <w:rPr>
          <w:lang w:val="en-US"/>
        </w:rPr>
        <w:t>The analysis is not clinically validated and is performed under experimental conditions</w:t>
      </w:r>
      <w:r>
        <w:rPr>
          <w:lang w:val="en-US"/>
        </w:rPr>
        <w:t xml:space="preserve">. The method can potentially mask aberrations due to technical variations. </w:t>
      </w:r>
      <w:r w:rsidR="00430F22">
        <w:rPr>
          <w:lang w:val="en-US"/>
        </w:rPr>
        <w:t xml:space="preserve">For technical reasons, also </w:t>
      </w:r>
      <w:proofErr w:type="spellStart"/>
      <w:r w:rsidR="00430F22">
        <w:rPr>
          <w:lang w:val="en-US"/>
        </w:rPr>
        <w:t>germline</w:t>
      </w:r>
      <w:proofErr w:type="spellEnd"/>
      <w:r w:rsidR="00430F22">
        <w:rPr>
          <w:lang w:val="en-US"/>
        </w:rPr>
        <w:t xml:space="preserve"> data might be obtained. However, the analysis does not intend to identify </w:t>
      </w:r>
      <w:proofErr w:type="spellStart"/>
      <w:r w:rsidR="00430F22">
        <w:rPr>
          <w:lang w:val="en-US"/>
        </w:rPr>
        <w:t>germline</w:t>
      </w:r>
      <w:proofErr w:type="spellEnd"/>
      <w:r w:rsidR="00430F22">
        <w:rPr>
          <w:lang w:val="en-US"/>
        </w:rPr>
        <w:t xml:space="preserve"> aberrations. </w:t>
      </w:r>
      <w:r>
        <w:rPr>
          <w:lang w:val="en-US"/>
        </w:rPr>
        <w:t>Application of the findings for treatment decisions is in the sole responsibility of the treating physician.</w:t>
      </w:r>
    </w:p>
    <w:p w:rsidR="00A33F84" w:rsidRPr="00247269" w:rsidRDefault="00247269" w:rsidP="00A33F84">
      <w:pPr>
        <w:rPr>
          <w:lang w:val="en-US"/>
        </w:rPr>
      </w:pPr>
      <w:r>
        <w:rPr>
          <w:lang w:val="en-US"/>
        </w:rPr>
        <w:t>The analy</w:t>
      </w:r>
      <w:r w:rsidRPr="00247269">
        <w:rPr>
          <w:lang w:val="en-US"/>
        </w:rPr>
        <w:t>sis takes approximately 3 to 4 weeks.</w:t>
      </w:r>
    </w:p>
    <w:p w:rsidR="00A33F84" w:rsidRPr="00430F22" w:rsidRDefault="009039B1" w:rsidP="00353C38">
      <w:pPr>
        <w:rPr>
          <w:lang w:val="en-US"/>
        </w:rPr>
      </w:pPr>
      <w:r w:rsidRPr="00430F22">
        <w:rPr>
          <w:lang w:val="en-US"/>
        </w:rPr>
        <w:t>Address:</w:t>
      </w:r>
    </w:p>
    <w:p w:rsidR="009039B1" w:rsidRPr="00430F22" w:rsidRDefault="009039B1" w:rsidP="009039B1">
      <w:pPr>
        <w:pStyle w:val="KeinLeerraum"/>
        <w:rPr>
          <w:lang w:val="en-US"/>
        </w:rPr>
      </w:pPr>
      <w:r w:rsidRPr="00430F22">
        <w:rPr>
          <w:lang w:val="en-US"/>
        </w:rPr>
        <w:t xml:space="preserve">Dept. of </w:t>
      </w:r>
      <w:proofErr w:type="spellStart"/>
      <w:r w:rsidRPr="00430F22">
        <w:rPr>
          <w:lang w:val="en-US"/>
        </w:rPr>
        <w:t>Neuropatholgy</w:t>
      </w:r>
      <w:proofErr w:type="spellEnd"/>
    </w:p>
    <w:p w:rsidR="009039B1" w:rsidRPr="00430F22" w:rsidRDefault="009039B1" w:rsidP="009039B1">
      <w:pPr>
        <w:pStyle w:val="KeinLeerraum"/>
        <w:rPr>
          <w:lang w:val="en-US"/>
        </w:rPr>
      </w:pPr>
      <w:r w:rsidRPr="00430F22">
        <w:rPr>
          <w:lang w:val="en-US"/>
        </w:rPr>
        <w:t>GENE-PANEL</w:t>
      </w:r>
    </w:p>
    <w:p w:rsidR="009039B1" w:rsidRPr="009039B1" w:rsidRDefault="009039B1" w:rsidP="009039B1">
      <w:pPr>
        <w:pStyle w:val="KeinLeerraum"/>
      </w:pPr>
      <w:r>
        <w:t>University Hospital</w:t>
      </w:r>
      <w:r w:rsidRPr="009039B1">
        <w:t xml:space="preserve"> Heidelberg</w:t>
      </w:r>
    </w:p>
    <w:p w:rsidR="009039B1" w:rsidRPr="009039B1" w:rsidRDefault="009039B1" w:rsidP="009039B1">
      <w:pPr>
        <w:pStyle w:val="KeinLeerraum"/>
      </w:pPr>
      <w:r w:rsidRPr="009039B1">
        <w:t xml:space="preserve">Im </w:t>
      </w:r>
      <w:proofErr w:type="spellStart"/>
      <w:r w:rsidRPr="009039B1">
        <w:t>Neuenheimer</w:t>
      </w:r>
      <w:proofErr w:type="spellEnd"/>
      <w:r w:rsidRPr="009039B1">
        <w:t xml:space="preserve"> Feld 224</w:t>
      </w:r>
    </w:p>
    <w:p w:rsidR="009039B1" w:rsidRDefault="009039B1" w:rsidP="009039B1">
      <w:pPr>
        <w:pStyle w:val="KeinLeerraum"/>
      </w:pPr>
      <w:r>
        <w:t>D-</w:t>
      </w:r>
      <w:r w:rsidRPr="009039B1">
        <w:t>69120 Heidelberg</w:t>
      </w:r>
    </w:p>
    <w:p w:rsidR="009039B1" w:rsidRPr="009039B1" w:rsidRDefault="009039B1" w:rsidP="009039B1">
      <w:pPr>
        <w:pStyle w:val="KeinLeerraum"/>
      </w:pPr>
      <w:r>
        <w:t>Germany</w:t>
      </w:r>
    </w:p>
    <w:p w:rsidR="009039B1" w:rsidRPr="009039B1" w:rsidRDefault="009039B1" w:rsidP="00353C38"/>
    <w:sectPr w:rsidR="009039B1" w:rsidRPr="00903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502"/>
    <w:multiLevelType w:val="hybridMultilevel"/>
    <w:tmpl w:val="7038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6"/>
    <w:rsid w:val="00056DFC"/>
    <w:rsid w:val="000F0F39"/>
    <w:rsid w:val="00115A8E"/>
    <w:rsid w:val="00247269"/>
    <w:rsid w:val="00353C38"/>
    <w:rsid w:val="00376694"/>
    <w:rsid w:val="00430F22"/>
    <w:rsid w:val="006C1A68"/>
    <w:rsid w:val="00773A47"/>
    <w:rsid w:val="007A4C67"/>
    <w:rsid w:val="007C5B73"/>
    <w:rsid w:val="00857D36"/>
    <w:rsid w:val="009039B1"/>
    <w:rsid w:val="00A33F84"/>
    <w:rsid w:val="00AB4563"/>
    <w:rsid w:val="00BF2F06"/>
    <w:rsid w:val="00DA1225"/>
    <w:rsid w:val="00E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F06"/>
    <w:pPr>
      <w:ind w:left="720"/>
      <w:contextualSpacing/>
    </w:pPr>
  </w:style>
  <w:style w:type="paragraph" w:styleId="KeinLeerraum">
    <w:name w:val="No Spacing"/>
    <w:uiPriority w:val="1"/>
    <w:qFormat/>
    <w:rsid w:val="009039B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66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66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66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66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66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F06"/>
    <w:pPr>
      <w:ind w:left="720"/>
      <w:contextualSpacing/>
    </w:pPr>
  </w:style>
  <w:style w:type="paragraph" w:styleId="KeinLeerraum">
    <w:name w:val="No Spacing"/>
    <w:uiPriority w:val="1"/>
    <w:qFormat/>
    <w:rsid w:val="009039B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66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66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66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66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66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9060945B</Template>
  <TotalTime>0</TotalTime>
  <Pages>2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Sahm, Felix</dc:creator>
  <cp:lastModifiedBy>Sahm, Felix</cp:lastModifiedBy>
  <cp:revision>2</cp:revision>
  <dcterms:created xsi:type="dcterms:W3CDTF">2015-11-16T12:59:00Z</dcterms:created>
  <dcterms:modified xsi:type="dcterms:W3CDTF">2015-11-16T12:59:00Z</dcterms:modified>
</cp:coreProperties>
</file>